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810"/>
        <w:gridCol w:w="270"/>
        <w:gridCol w:w="360"/>
        <w:gridCol w:w="90"/>
        <w:gridCol w:w="3510"/>
        <w:gridCol w:w="1170"/>
        <w:gridCol w:w="2898"/>
      </w:tblGrid>
      <w:tr w:rsidR="00F47A28" w:rsidRPr="00F47A28" w:rsidTr="00B225E3">
        <w:tc>
          <w:tcPr>
            <w:tcW w:w="8118" w:type="dxa"/>
            <w:gridSpan w:val="7"/>
            <w:tcBorders>
              <w:bottom w:val="thinThickSmallGap" w:sz="24" w:space="0" w:color="auto"/>
            </w:tcBorders>
          </w:tcPr>
          <w:p w:rsidR="00482CF1" w:rsidRDefault="00482CF1" w:rsidP="00482CF1">
            <w:pPr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</w:pPr>
            <w:bookmarkStart w:id="0" w:name="_GoBack"/>
            <w:bookmarkEnd w:id="0"/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Curriculum vitae </w:t>
            </w:r>
          </w:p>
          <w:p w:rsidR="00F5116A" w:rsidRPr="00F5116A" w:rsidRDefault="00F5116A" w:rsidP="00F5116A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Assist. Prof. Atheel A. Saeed </w:t>
            </w:r>
          </w:p>
          <w:p w:rsidR="00F5116A" w:rsidRDefault="00F5116A" w:rsidP="00F5116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Department of French Language, College of Arts</w:t>
            </w:r>
          </w:p>
          <w:p w:rsidR="009E0773" w:rsidRDefault="00F5116A" w:rsidP="00F5116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University of Mosul, </w:t>
            </w:r>
          </w:p>
          <w:p w:rsidR="00F47A28" w:rsidRDefault="00F5116A" w:rsidP="00F5116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Mosul, IRAQ</w:t>
            </w:r>
          </w:p>
          <w:p w:rsidR="00851785" w:rsidRPr="00F47A28" w:rsidRDefault="00851785" w:rsidP="00CF52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281AFE" w:rsidP="00F5116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sz w:val="24"/>
                <w:szCs w:val="24"/>
              </w:rPr>
              <w:drawing>
                <wp:inline distT="0" distB="0" distL="0" distR="0">
                  <wp:extent cx="942975" cy="1219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B225E3">
        <w:tc>
          <w:tcPr>
            <w:tcW w:w="11016" w:type="dxa"/>
            <w:gridSpan w:val="8"/>
            <w:tcBorders>
              <w:top w:val="thinThickSmallGap" w:sz="24" w:space="0" w:color="auto"/>
            </w:tcBorders>
          </w:tcPr>
          <w:p w:rsidR="00F47A28" w:rsidRPr="004F25EF" w:rsidRDefault="00F47A28" w:rsidP="00B225E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B225E3">
        <w:tc>
          <w:tcPr>
            <w:tcW w:w="11016" w:type="dxa"/>
            <w:gridSpan w:val="8"/>
            <w:shd w:val="clear" w:color="auto" w:fill="D9F1FF"/>
          </w:tcPr>
          <w:p w:rsidR="00F47A28" w:rsidRPr="00F47A28" w:rsidRDefault="00B225E3" w:rsidP="00B225E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Personal Information</w:t>
            </w:r>
          </w:p>
        </w:tc>
      </w:tr>
      <w:tr w:rsidR="00F47A28" w:rsidRPr="00F47A28" w:rsidTr="00B225E3">
        <w:tc>
          <w:tcPr>
            <w:tcW w:w="2718" w:type="dxa"/>
            <w:gridSpan w:val="2"/>
          </w:tcPr>
          <w:p w:rsidR="00F47A28" w:rsidRPr="00F47A28" w:rsidRDefault="00B225E3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Name</w:t>
            </w:r>
          </w:p>
        </w:tc>
        <w:tc>
          <w:tcPr>
            <w:tcW w:w="8298" w:type="dxa"/>
            <w:gridSpan w:val="6"/>
          </w:tcPr>
          <w:p w:rsidR="00F47A28" w:rsidRPr="00924DBA" w:rsidRDefault="004A2C47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Atheel A. Saeed</w:t>
            </w:r>
          </w:p>
        </w:tc>
      </w:tr>
      <w:tr w:rsidR="00F47A28" w:rsidRPr="00F47A28" w:rsidTr="00B225E3">
        <w:tc>
          <w:tcPr>
            <w:tcW w:w="2718" w:type="dxa"/>
            <w:gridSpan w:val="2"/>
          </w:tcPr>
          <w:p w:rsidR="00F47A28" w:rsidRPr="00F47A28" w:rsidRDefault="00B225E3" w:rsidP="004A2C47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Da</w:t>
            </w:r>
            <w:r w:rsidR="004A2C4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 of Birth</w:t>
            </w:r>
          </w:p>
        </w:tc>
        <w:tc>
          <w:tcPr>
            <w:tcW w:w="8298" w:type="dxa"/>
            <w:gridSpan w:val="6"/>
          </w:tcPr>
          <w:p w:rsidR="00F47A28" w:rsidRPr="00F47A28" w:rsidRDefault="004A2C47" w:rsidP="00077EF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1974</w:t>
            </w:r>
          </w:p>
        </w:tc>
      </w:tr>
      <w:tr w:rsidR="00F47A28" w:rsidRPr="00F47A28" w:rsidTr="00B225E3">
        <w:tc>
          <w:tcPr>
            <w:tcW w:w="2718" w:type="dxa"/>
            <w:gridSpan w:val="2"/>
          </w:tcPr>
          <w:p w:rsidR="00F47A28" w:rsidRDefault="00B225E3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Place of Birth</w:t>
            </w:r>
          </w:p>
        </w:tc>
        <w:tc>
          <w:tcPr>
            <w:tcW w:w="8298" w:type="dxa"/>
            <w:gridSpan w:val="6"/>
          </w:tcPr>
          <w:p w:rsidR="00F47A28" w:rsidRDefault="004A2C47" w:rsidP="00077EF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Mosul</w:t>
            </w:r>
          </w:p>
        </w:tc>
      </w:tr>
      <w:tr w:rsidR="004F25EF" w:rsidRPr="00F47A28" w:rsidTr="00B225E3">
        <w:tc>
          <w:tcPr>
            <w:tcW w:w="2718" w:type="dxa"/>
            <w:gridSpan w:val="2"/>
          </w:tcPr>
          <w:p w:rsidR="004F25EF" w:rsidRDefault="00B225E3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Gender</w:t>
            </w:r>
          </w:p>
        </w:tc>
        <w:tc>
          <w:tcPr>
            <w:tcW w:w="8298" w:type="dxa"/>
            <w:gridSpan w:val="6"/>
          </w:tcPr>
          <w:p w:rsidR="004F25EF" w:rsidRDefault="004A2C47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Male</w:t>
            </w:r>
          </w:p>
        </w:tc>
      </w:tr>
      <w:tr w:rsidR="004F25EF" w:rsidRPr="00F47A28" w:rsidTr="00B225E3">
        <w:tc>
          <w:tcPr>
            <w:tcW w:w="2718" w:type="dxa"/>
            <w:gridSpan w:val="2"/>
          </w:tcPr>
          <w:p w:rsidR="004F25EF" w:rsidRDefault="00B225E3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Nationality</w:t>
            </w:r>
          </w:p>
        </w:tc>
        <w:tc>
          <w:tcPr>
            <w:tcW w:w="8298" w:type="dxa"/>
            <w:gridSpan w:val="6"/>
          </w:tcPr>
          <w:p w:rsidR="004F25EF" w:rsidRDefault="004A2C47" w:rsidP="0084225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Iraqi</w:t>
            </w:r>
          </w:p>
        </w:tc>
      </w:tr>
      <w:tr w:rsidR="004F25EF" w:rsidRPr="00F47A28" w:rsidTr="00B225E3">
        <w:tc>
          <w:tcPr>
            <w:tcW w:w="2718" w:type="dxa"/>
            <w:gridSpan w:val="2"/>
          </w:tcPr>
          <w:p w:rsidR="004F25EF" w:rsidRDefault="00B225E3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Marital Status</w:t>
            </w:r>
          </w:p>
        </w:tc>
        <w:tc>
          <w:tcPr>
            <w:tcW w:w="8298" w:type="dxa"/>
            <w:gridSpan w:val="6"/>
          </w:tcPr>
          <w:p w:rsidR="004F25EF" w:rsidRDefault="004A2C47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Married</w:t>
            </w:r>
          </w:p>
        </w:tc>
      </w:tr>
      <w:tr w:rsidR="004F25EF" w:rsidRPr="00F47A28" w:rsidTr="00B225E3">
        <w:tc>
          <w:tcPr>
            <w:tcW w:w="2718" w:type="dxa"/>
            <w:gridSpan w:val="2"/>
          </w:tcPr>
          <w:p w:rsidR="004F25EF" w:rsidRDefault="00B225E3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No. of Children</w:t>
            </w:r>
          </w:p>
        </w:tc>
        <w:tc>
          <w:tcPr>
            <w:tcW w:w="8298" w:type="dxa"/>
            <w:gridSpan w:val="6"/>
          </w:tcPr>
          <w:p w:rsidR="004F25EF" w:rsidRDefault="004A2C47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</w:tr>
      <w:tr w:rsidR="004F25EF" w:rsidRPr="004F25EF" w:rsidTr="00B225E3">
        <w:tc>
          <w:tcPr>
            <w:tcW w:w="11016" w:type="dxa"/>
            <w:gridSpan w:val="8"/>
          </w:tcPr>
          <w:p w:rsidR="004F25EF" w:rsidRPr="004F25EF" w:rsidRDefault="004F25EF" w:rsidP="00B225E3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B225E3">
        <w:tc>
          <w:tcPr>
            <w:tcW w:w="11016" w:type="dxa"/>
            <w:gridSpan w:val="8"/>
            <w:shd w:val="clear" w:color="auto" w:fill="D9F1FF"/>
          </w:tcPr>
          <w:p w:rsidR="004F25EF" w:rsidRPr="00F47A28" w:rsidRDefault="00B225E3" w:rsidP="00B225E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Academic Information</w:t>
            </w:r>
          </w:p>
        </w:tc>
      </w:tr>
      <w:tr w:rsidR="004F25EF" w:rsidRPr="00F47A28" w:rsidTr="00B225E3">
        <w:tc>
          <w:tcPr>
            <w:tcW w:w="2988" w:type="dxa"/>
            <w:gridSpan w:val="3"/>
          </w:tcPr>
          <w:p w:rsidR="004F25EF" w:rsidRPr="00F47A28" w:rsidRDefault="00077EF3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itle</w:t>
            </w:r>
          </w:p>
        </w:tc>
        <w:tc>
          <w:tcPr>
            <w:tcW w:w="8028" w:type="dxa"/>
            <w:gridSpan w:val="5"/>
          </w:tcPr>
          <w:p w:rsidR="004F25EF" w:rsidRPr="00F47A28" w:rsidRDefault="004A2C47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Professor </w:t>
            </w:r>
          </w:p>
        </w:tc>
      </w:tr>
      <w:tr w:rsidR="004F25EF" w:rsidRPr="00F47A28" w:rsidTr="00B225E3">
        <w:tc>
          <w:tcPr>
            <w:tcW w:w="2988" w:type="dxa"/>
            <w:gridSpan w:val="3"/>
          </w:tcPr>
          <w:p w:rsidR="004F25EF" w:rsidRPr="00F47A28" w:rsidRDefault="00B225E3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Dept.</w:t>
            </w:r>
          </w:p>
        </w:tc>
        <w:tc>
          <w:tcPr>
            <w:tcW w:w="8028" w:type="dxa"/>
            <w:gridSpan w:val="5"/>
          </w:tcPr>
          <w:p w:rsidR="004F25EF" w:rsidRPr="00F47A28" w:rsidRDefault="004A2C47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Dept. of Translation</w:t>
            </w:r>
          </w:p>
        </w:tc>
      </w:tr>
      <w:tr w:rsidR="008F3866" w:rsidRPr="00F47A28" w:rsidTr="00B225E3">
        <w:tc>
          <w:tcPr>
            <w:tcW w:w="2988" w:type="dxa"/>
            <w:gridSpan w:val="3"/>
          </w:tcPr>
          <w:p w:rsidR="008F3866" w:rsidRDefault="00B225E3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General specialty </w:t>
            </w:r>
          </w:p>
        </w:tc>
        <w:tc>
          <w:tcPr>
            <w:tcW w:w="8028" w:type="dxa"/>
            <w:gridSpan w:val="5"/>
          </w:tcPr>
          <w:p w:rsidR="008F3866" w:rsidRDefault="004A2C47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Linguistics and Translation</w:t>
            </w:r>
          </w:p>
        </w:tc>
      </w:tr>
      <w:tr w:rsidR="008F3866" w:rsidRPr="00F47A28" w:rsidTr="00B225E3">
        <w:tc>
          <w:tcPr>
            <w:tcW w:w="2988" w:type="dxa"/>
            <w:gridSpan w:val="3"/>
          </w:tcPr>
          <w:p w:rsidR="008F3866" w:rsidRDefault="00815DFF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Specific specialty</w:t>
            </w:r>
          </w:p>
        </w:tc>
        <w:tc>
          <w:tcPr>
            <w:tcW w:w="8028" w:type="dxa"/>
            <w:gridSpan w:val="5"/>
          </w:tcPr>
          <w:p w:rsidR="008F3866" w:rsidRDefault="004A2C47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Translation</w:t>
            </w:r>
          </w:p>
        </w:tc>
      </w:tr>
      <w:tr w:rsidR="004F25EF" w:rsidRPr="00F47A28" w:rsidTr="00B225E3">
        <w:tc>
          <w:tcPr>
            <w:tcW w:w="2988" w:type="dxa"/>
            <w:gridSpan w:val="3"/>
          </w:tcPr>
          <w:p w:rsidR="004F25EF" w:rsidRDefault="00815DFF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Email</w:t>
            </w:r>
          </w:p>
        </w:tc>
        <w:tc>
          <w:tcPr>
            <w:tcW w:w="8028" w:type="dxa"/>
            <w:gridSpan w:val="5"/>
          </w:tcPr>
          <w:p w:rsidR="004F25EF" w:rsidRDefault="004A2C47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Atheel.a.s@uomosul.edu.iq</w:t>
            </w:r>
          </w:p>
        </w:tc>
      </w:tr>
      <w:tr w:rsidR="007653BC" w:rsidRPr="00F47A28" w:rsidTr="00B225E3">
        <w:tc>
          <w:tcPr>
            <w:tcW w:w="2988" w:type="dxa"/>
            <w:gridSpan w:val="3"/>
          </w:tcPr>
          <w:p w:rsidR="007653BC" w:rsidRDefault="007653BC" w:rsidP="007653BC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8028" w:type="dxa"/>
            <w:gridSpan w:val="5"/>
          </w:tcPr>
          <w:p w:rsidR="007653BC" w:rsidRDefault="007653BC" w:rsidP="007653B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534F2C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https://www.researchgate.net/profile/Atheel-Saeed</w:t>
            </w:r>
          </w:p>
        </w:tc>
      </w:tr>
      <w:tr w:rsidR="007653BC" w:rsidRPr="00F47A28" w:rsidTr="00B225E3">
        <w:tc>
          <w:tcPr>
            <w:tcW w:w="2988" w:type="dxa"/>
            <w:gridSpan w:val="3"/>
          </w:tcPr>
          <w:p w:rsidR="007653BC" w:rsidRDefault="007653BC" w:rsidP="007653BC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8028" w:type="dxa"/>
            <w:gridSpan w:val="5"/>
          </w:tcPr>
          <w:p w:rsidR="007653BC" w:rsidRDefault="007653BC" w:rsidP="007653B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534F2C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https://scholar.google.com/citations?user=_rqs3uoAAAAJ&amp;hl=en</w:t>
            </w:r>
          </w:p>
        </w:tc>
      </w:tr>
      <w:tr w:rsidR="007653BC" w:rsidRPr="00F47A28" w:rsidTr="00B225E3">
        <w:tc>
          <w:tcPr>
            <w:tcW w:w="2988" w:type="dxa"/>
            <w:gridSpan w:val="3"/>
          </w:tcPr>
          <w:p w:rsidR="007653BC" w:rsidRDefault="007653BC" w:rsidP="007653BC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028" w:type="dxa"/>
            <w:gridSpan w:val="5"/>
          </w:tcPr>
          <w:p w:rsidR="007653BC" w:rsidRDefault="007653BC" w:rsidP="007653B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534F2C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https://orcid.org/my-orcid?orcid=0000-0003-4198-8249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ab/>
            </w:r>
          </w:p>
        </w:tc>
      </w:tr>
      <w:tr w:rsidR="004F25EF" w:rsidRPr="004F25EF" w:rsidTr="00B225E3">
        <w:tc>
          <w:tcPr>
            <w:tcW w:w="11016" w:type="dxa"/>
            <w:gridSpan w:val="8"/>
          </w:tcPr>
          <w:p w:rsidR="004F25EF" w:rsidRDefault="004F25EF" w:rsidP="00B225E3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B225E3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B225E3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B225E3">
        <w:tc>
          <w:tcPr>
            <w:tcW w:w="11016" w:type="dxa"/>
            <w:gridSpan w:val="8"/>
            <w:shd w:val="clear" w:color="auto" w:fill="D9F1FF"/>
          </w:tcPr>
          <w:p w:rsidR="004F25EF" w:rsidRPr="00F47A28" w:rsidRDefault="00A776D8" w:rsidP="00B225E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Education</w:t>
            </w:r>
          </w:p>
        </w:tc>
      </w:tr>
      <w:tr w:rsidR="00851785" w:rsidRPr="00F47A28" w:rsidTr="004A2C47">
        <w:tc>
          <w:tcPr>
            <w:tcW w:w="1908" w:type="dxa"/>
          </w:tcPr>
          <w:p w:rsidR="00851785" w:rsidRPr="004F25EF" w:rsidRDefault="00A776D8" w:rsidP="00B225E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Degree</w:t>
            </w:r>
          </w:p>
        </w:tc>
        <w:tc>
          <w:tcPr>
            <w:tcW w:w="1530" w:type="dxa"/>
            <w:gridSpan w:val="4"/>
          </w:tcPr>
          <w:p w:rsidR="00851785" w:rsidRDefault="004A2C47" w:rsidP="00B225E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       </w:t>
            </w:r>
            <w:r w:rsidR="00A776D8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Year</w:t>
            </w:r>
          </w:p>
        </w:tc>
        <w:tc>
          <w:tcPr>
            <w:tcW w:w="3510" w:type="dxa"/>
          </w:tcPr>
          <w:p w:rsidR="00851785" w:rsidRPr="00F47A28" w:rsidRDefault="00A776D8" w:rsidP="00B225E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Major</w:t>
            </w:r>
          </w:p>
        </w:tc>
        <w:tc>
          <w:tcPr>
            <w:tcW w:w="4068" w:type="dxa"/>
            <w:gridSpan w:val="2"/>
          </w:tcPr>
          <w:p w:rsidR="00851785" w:rsidRPr="00F47A28" w:rsidRDefault="00A776D8" w:rsidP="00B225E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University </w:t>
            </w:r>
          </w:p>
        </w:tc>
      </w:tr>
      <w:tr w:rsidR="00851785" w:rsidRPr="00F47A28" w:rsidTr="004A2C47">
        <w:tc>
          <w:tcPr>
            <w:tcW w:w="1908" w:type="dxa"/>
          </w:tcPr>
          <w:p w:rsidR="00851785" w:rsidRPr="004F25EF" w:rsidRDefault="00F45574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530" w:type="dxa"/>
            <w:gridSpan w:val="4"/>
          </w:tcPr>
          <w:p w:rsidR="00851785" w:rsidRPr="00F47A28" w:rsidRDefault="00851785" w:rsidP="00B225E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</w:tcPr>
          <w:p w:rsidR="00851785" w:rsidRPr="00F47A28" w:rsidRDefault="00851785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F47A28" w:rsidRDefault="00851785" w:rsidP="00483C7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83C7F" w:rsidRPr="00F47A28" w:rsidTr="004A2C47">
        <w:tc>
          <w:tcPr>
            <w:tcW w:w="1908" w:type="dxa"/>
          </w:tcPr>
          <w:p w:rsidR="00483C7F" w:rsidRPr="004F25EF" w:rsidRDefault="00483C7F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</w:t>
            </w:r>
            <w:r w:rsidR="008A388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.A</w:t>
            </w:r>
          </w:p>
        </w:tc>
        <w:tc>
          <w:tcPr>
            <w:tcW w:w="1530" w:type="dxa"/>
            <w:gridSpan w:val="4"/>
          </w:tcPr>
          <w:p w:rsidR="00483C7F" w:rsidRPr="00F47A28" w:rsidRDefault="004A2C47" w:rsidP="008A388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2000</w:t>
            </w:r>
          </w:p>
        </w:tc>
        <w:tc>
          <w:tcPr>
            <w:tcW w:w="3510" w:type="dxa"/>
          </w:tcPr>
          <w:p w:rsidR="00483C7F" w:rsidRPr="00F47A28" w:rsidRDefault="004A2C47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Translation</w:t>
            </w:r>
          </w:p>
        </w:tc>
        <w:tc>
          <w:tcPr>
            <w:tcW w:w="4068" w:type="dxa"/>
            <w:gridSpan w:val="2"/>
          </w:tcPr>
          <w:p w:rsidR="00483C7F" w:rsidRPr="004A2C47" w:rsidRDefault="004A2C47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4A2C47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University of Mosul</w:t>
            </w:r>
          </w:p>
        </w:tc>
      </w:tr>
      <w:tr w:rsidR="00483C7F" w:rsidRPr="00F47A28" w:rsidTr="004A2C47">
        <w:tc>
          <w:tcPr>
            <w:tcW w:w="1908" w:type="dxa"/>
          </w:tcPr>
          <w:p w:rsidR="00483C7F" w:rsidRDefault="00483C7F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Bachelor</w:t>
            </w:r>
          </w:p>
        </w:tc>
        <w:tc>
          <w:tcPr>
            <w:tcW w:w="1530" w:type="dxa"/>
            <w:gridSpan w:val="4"/>
          </w:tcPr>
          <w:p w:rsidR="00483C7F" w:rsidRPr="00F47A28" w:rsidRDefault="00A651EA" w:rsidP="008A388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1997</w:t>
            </w:r>
          </w:p>
        </w:tc>
        <w:tc>
          <w:tcPr>
            <w:tcW w:w="3510" w:type="dxa"/>
          </w:tcPr>
          <w:p w:rsidR="00483C7F" w:rsidRPr="00F47A28" w:rsidRDefault="00A651EA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Translation</w:t>
            </w:r>
          </w:p>
        </w:tc>
        <w:tc>
          <w:tcPr>
            <w:tcW w:w="4068" w:type="dxa"/>
            <w:gridSpan w:val="2"/>
          </w:tcPr>
          <w:p w:rsidR="00483C7F" w:rsidRPr="00A651EA" w:rsidRDefault="00A651EA" w:rsidP="008A388F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A651EA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>University of Mosul</w:t>
            </w:r>
          </w:p>
        </w:tc>
      </w:tr>
      <w:tr w:rsidR="007E614C" w:rsidRPr="004F25EF" w:rsidTr="00B225E3">
        <w:tc>
          <w:tcPr>
            <w:tcW w:w="11016" w:type="dxa"/>
            <w:gridSpan w:val="8"/>
          </w:tcPr>
          <w:p w:rsidR="007E614C" w:rsidRPr="004F25EF" w:rsidRDefault="007E614C" w:rsidP="00B225E3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B225E3">
        <w:tc>
          <w:tcPr>
            <w:tcW w:w="11016" w:type="dxa"/>
            <w:gridSpan w:val="8"/>
            <w:shd w:val="clear" w:color="auto" w:fill="D9F1FF"/>
          </w:tcPr>
          <w:p w:rsidR="007E614C" w:rsidRPr="00F47A28" w:rsidRDefault="00F45574" w:rsidP="00B225E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titles</w:t>
            </w:r>
          </w:p>
        </w:tc>
      </w:tr>
      <w:tr w:rsidR="007E614C" w:rsidRPr="00F47A28" w:rsidTr="003D1147">
        <w:tc>
          <w:tcPr>
            <w:tcW w:w="3348" w:type="dxa"/>
            <w:gridSpan w:val="4"/>
          </w:tcPr>
          <w:p w:rsidR="007E614C" w:rsidRPr="00F47A28" w:rsidRDefault="00F45574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Professor</w:t>
            </w:r>
          </w:p>
        </w:tc>
        <w:tc>
          <w:tcPr>
            <w:tcW w:w="7668" w:type="dxa"/>
            <w:gridSpan w:val="4"/>
          </w:tcPr>
          <w:p w:rsidR="007E614C" w:rsidRPr="00F47A28" w:rsidRDefault="007E614C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F47A28" w:rsidTr="003D1147">
        <w:tc>
          <w:tcPr>
            <w:tcW w:w="3348" w:type="dxa"/>
            <w:gridSpan w:val="4"/>
          </w:tcPr>
          <w:p w:rsidR="007E614C" w:rsidRPr="00F47A28" w:rsidRDefault="00F45574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Prof. </w:t>
            </w:r>
          </w:p>
        </w:tc>
        <w:tc>
          <w:tcPr>
            <w:tcW w:w="7668" w:type="dxa"/>
            <w:gridSpan w:val="4"/>
          </w:tcPr>
          <w:p w:rsidR="007E614C" w:rsidRPr="00F47A28" w:rsidRDefault="00A651EA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2013</w:t>
            </w:r>
          </w:p>
        </w:tc>
      </w:tr>
      <w:tr w:rsidR="007E614C" w:rsidTr="003D1147">
        <w:tc>
          <w:tcPr>
            <w:tcW w:w="3348" w:type="dxa"/>
            <w:gridSpan w:val="4"/>
          </w:tcPr>
          <w:p w:rsidR="007E614C" w:rsidRDefault="00F45574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Lecturer</w:t>
            </w:r>
          </w:p>
        </w:tc>
        <w:tc>
          <w:tcPr>
            <w:tcW w:w="7668" w:type="dxa"/>
            <w:gridSpan w:val="4"/>
          </w:tcPr>
          <w:p w:rsidR="007E614C" w:rsidRDefault="00A651EA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2006</w:t>
            </w:r>
          </w:p>
        </w:tc>
      </w:tr>
      <w:tr w:rsidR="007E614C" w:rsidTr="003D1147">
        <w:tc>
          <w:tcPr>
            <w:tcW w:w="3348" w:type="dxa"/>
            <w:gridSpan w:val="4"/>
          </w:tcPr>
          <w:p w:rsidR="007E614C" w:rsidRDefault="00F45574" w:rsidP="00B225E3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lastRenderedPageBreak/>
              <w:t>Assistant Lect.</w:t>
            </w:r>
          </w:p>
        </w:tc>
        <w:tc>
          <w:tcPr>
            <w:tcW w:w="7668" w:type="dxa"/>
            <w:gridSpan w:val="4"/>
          </w:tcPr>
          <w:p w:rsidR="007E614C" w:rsidRDefault="00A651EA" w:rsidP="00B225E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2000</w:t>
            </w:r>
          </w:p>
        </w:tc>
      </w:tr>
      <w:tr w:rsidR="007E614C" w:rsidRPr="004F25EF" w:rsidTr="00B225E3">
        <w:tc>
          <w:tcPr>
            <w:tcW w:w="11016" w:type="dxa"/>
            <w:gridSpan w:val="8"/>
          </w:tcPr>
          <w:p w:rsidR="007E614C" w:rsidRDefault="007E614C" w:rsidP="00B225E3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</w:p>
          <w:p w:rsidR="00A651EA" w:rsidRDefault="00A651EA" w:rsidP="00B225E3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</w:p>
          <w:p w:rsidR="00A651EA" w:rsidRDefault="00A651EA" w:rsidP="00B225E3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</w:p>
          <w:p w:rsidR="00A651EA" w:rsidRPr="004F25EF" w:rsidRDefault="00A651EA" w:rsidP="00B225E3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3D1147" w:rsidRPr="00F47A28" w:rsidTr="00B225E3">
        <w:tc>
          <w:tcPr>
            <w:tcW w:w="11016" w:type="dxa"/>
            <w:gridSpan w:val="8"/>
            <w:shd w:val="clear" w:color="auto" w:fill="D9F1FF"/>
          </w:tcPr>
          <w:p w:rsidR="003D1147" w:rsidRDefault="003D1147" w:rsidP="003D1147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Simplified Arabic"/>
                <w:i/>
                <w:iCs/>
                <w:u w:val="single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and Administrative Experiences</w:t>
            </w:r>
          </w:p>
          <w:p w:rsidR="003D1147" w:rsidRDefault="003D1147" w:rsidP="003D1147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Simplified Arabic"/>
                <w:i/>
                <w:iCs/>
                <w:u w:val="single"/>
              </w:rPr>
            </w:pPr>
          </w:p>
          <w:p w:rsidR="003D1147" w:rsidRPr="00F5116A" w:rsidRDefault="003D1147" w:rsidP="003D1147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F5116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A. Undergraduate studies</w:t>
            </w:r>
          </w:p>
          <w:p w:rsidR="003D1147" w:rsidRPr="00541053" w:rsidRDefault="003D1147" w:rsidP="003D1147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  <w:r w:rsidRPr="00541053">
              <w:rPr>
                <w:rFonts w:ascii="Times New Roman" w:hAnsi="Times New Roman" w:cs="Simplified Arabic"/>
                <w:sz w:val="28"/>
                <w:szCs w:val="28"/>
              </w:rPr>
              <w:t>1.Written Translation (English-Arabic) B.A., Dept. of Translation, College of Arts, 2000/2001---2003/2004; 2012- till now.</w:t>
            </w:r>
          </w:p>
          <w:p w:rsidR="003D1147" w:rsidRPr="00541053" w:rsidRDefault="003D1147" w:rsidP="003D1147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  <w:r w:rsidRPr="00541053">
              <w:rPr>
                <w:rFonts w:ascii="Times New Roman" w:hAnsi="Times New Roman" w:cs="Simplified Arabic"/>
                <w:sz w:val="28"/>
                <w:szCs w:val="28"/>
              </w:rPr>
              <w:t>2.College Composition, B.A., Dept. of Translation, College of Arts, 2001/2002.</w:t>
            </w:r>
          </w:p>
          <w:p w:rsidR="003D1147" w:rsidRPr="00541053" w:rsidRDefault="003D1147" w:rsidP="003D1147">
            <w:pPr>
              <w:autoSpaceDE w:val="0"/>
              <w:autoSpaceDN w:val="0"/>
              <w:spacing w:line="360" w:lineRule="auto"/>
              <w:ind w:left="284" w:hanging="567"/>
              <w:jc w:val="both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  <w:r w:rsidRPr="00541053">
              <w:rPr>
                <w:rFonts w:ascii="Times New Roman" w:hAnsi="Times New Roman" w:cs="Simplified Arabic"/>
                <w:sz w:val="28"/>
                <w:szCs w:val="28"/>
              </w:rPr>
              <w:t xml:space="preserve">    3.At Sight Translation (Oral Translation), Dept. of Translation, College of Arts, 2001-2004</w:t>
            </w:r>
          </w:p>
          <w:p w:rsidR="003D1147" w:rsidRPr="00541053" w:rsidRDefault="003D1147" w:rsidP="003D1147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  <w:r w:rsidRPr="00541053">
              <w:rPr>
                <w:rFonts w:ascii="Times New Roman" w:hAnsi="Times New Roman" w:cs="Simplified Arabic"/>
                <w:sz w:val="28"/>
                <w:szCs w:val="28"/>
              </w:rPr>
              <w:t>4.Written Translation (Arabic-English), B.A., Dept. of Translation, College of Arts, 2004/2005.</w:t>
            </w:r>
          </w:p>
          <w:p w:rsidR="003D1147" w:rsidRPr="00541053" w:rsidRDefault="003D1147" w:rsidP="003D1147">
            <w:pPr>
              <w:autoSpaceDE w:val="0"/>
              <w:autoSpaceDN w:val="0"/>
              <w:spacing w:line="360" w:lineRule="auto"/>
              <w:ind w:left="567" w:hanging="567"/>
              <w:jc w:val="both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  <w:r w:rsidRPr="00541053">
              <w:rPr>
                <w:rFonts w:ascii="Times New Roman" w:hAnsi="Times New Roman" w:cs="Simplified Arabic"/>
                <w:sz w:val="28"/>
                <w:szCs w:val="28"/>
              </w:rPr>
              <w:t>5.English Language, B.A., Dept. of Archeology, 2001/2002—</w:t>
            </w:r>
          </w:p>
          <w:p w:rsidR="003D1147" w:rsidRPr="00541053" w:rsidRDefault="003D1147" w:rsidP="003D1147">
            <w:pPr>
              <w:autoSpaceDE w:val="0"/>
              <w:autoSpaceDN w:val="0"/>
              <w:spacing w:line="360" w:lineRule="auto"/>
              <w:ind w:left="567" w:hanging="567"/>
              <w:jc w:val="both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  <w:r w:rsidRPr="00541053">
              <w:rPr>
                <w:rFonts w:ascii="Times New Roman" w:hAnsi="Times New Roman" w:cs="Simplified Arabic"/>
                <w:sz w:val="28"/>
                <w:szCs w:val="28"/>
              </w:rPr>
              <w:t>6.English Language at Al-Hadbaa Religious Secondary School, 2001/2002.</w:t>
            </w:r>
          </w:p>
          <w:p w:rsidR="003D1147" w:rsidRPr="00541053" w:rsidRDefault="003D1147" w:rsidP="003D1147">
            <w:pPr>
              <w:autoSpaceDE w:val="0"/>
              <w:autoSpaceDN w:val="0"/>
              <w:spacing w:line="360" w:lineRule="auto"/>
              <w:ind w:left="567" w:hanging="567"/>
              <w:jc w:val="both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  <w:r w:rsidRPr="00541053">
              <w:rPr>
                <w:rFonts w:ascii="Times New Roman" w:hAnsi="Times New Roman" w:cs="Simplified Arabic"/>
                <w:sz w:val="28"/>
                <w:szCs w:val="28"/>
              </w:rPr>
              <w:t>7. Journalistic Translation, B.A., Dept. of Translation, College of Arts, 2008/------.</w:t>
            </w:r>
          </w:p>
          <w:p w:rsidR="003D1147" w:rsidRPr="00541053" w:rsidRDefault="003D1147" w:rsidP="003D1147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  <w:r w:rsidRPr="00541053">
              <w:rPr>
                <w:rFonts w:ascii="Times New Roman" w:hAnsi="Times New Roman" w:cs="Simplified Arabic"/>
                <w:sz w:val="28"/>
                <w:szCs w:val="28"/>
              </w:rPr>
              <w:t>8.English Reading Comprehension, Dept. of French language B.A.</w:t>
            </w:r>
            <w:r>
              <w:rPr>
                <w:rFonts w:ascii="Times New Roman" w:hAnsi="Times New Roman" w:cs="Simplified Arabic"/>
                <w:sz w:val="28"/>
                <w:szCs w:val="28"/>
              </w:rPr>
              <w:t xml:space="preserve"> </w:t>
            </w:r>
            <w:r w:rsidRPr="00541053">
              <w:rPr>
                <w:rFonts w:ascii="Times New Roman" w:hAnsi="Times New Roman" w:cs="Simplified Arabic"/>
                <w:sz w:val="28"/>
                <w:szCs w:val="28"/>
              </w:rPr>
              <w:t>students, College of Arts, academic years 2011/2012; 2012/2013 ; 2013/2014 ; 2017/ 2018.</w:t>
            </w:r>
          </w:p>
          <w:p w:rsidR="003D1147" w:rsidRPr="00541053" w:rsidRDefault="003D1147" w:rsidP="003D1147">
            <w:pPr>
              <w:autoSpaceDE w:val="0"/>
              <w:autoSpaceDN w:val="0"/>
              <w:spacing w:line="360" w:lineRule="auto"/>
              <w:ind w:left="567" w:hanging="567"/>
              <w:jc w:val="both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  <w:r w:rsidRPr="00541053">
              <w:rPr>
                <w:rFonts w:ascii="Times New Roman" w:hAnsi="Times New Roman" w:cs="Simplified Arabic"/>
                <w:sz w:val="28"/>
                <w:szCs w:val="28"/>
              </w:rPr>
              <w:t>9. Supervising several B.A. research papers in English/Arabic Translation and vice versa.</w:t>
            </w:r>
          </w:p>
          <w:p w:rsidR="003D1147" w:rsidRPr="00F5116A" w:rsidRDefault="003D1147" w:rsidP="003D1147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</w:p>
          <w:p w:rsidR="003D1147" w:rsidRPr="00F5116A" w:rsidRDefault="003D1147" w:rsidP="003D1147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</w:pPr>
            <w:r w:rsidRPr="00F5116A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  <w:t>B. Postgraduate studies:</w:t>
            </w:r>
          </w:p>
          <w:p w:rsidR="003D1147" w:rsidRPr="00541053" w:rsidRDefault="003D1147" w:rsidP="003D1147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b/>
                <w:bCs/>
                <w:sz w:val="28"/>
                <w:szCs w:val="28"/>
              </w:rPr>
            </w:pPr>
            <w:r w:rsidRPr="00541053">
              <w:rPr>
                <w:rFonts w:ascii="Times New Roman" w:hAnsi="Times New Roman" w:cs="Simplified Arabic"/>
                <w:sz w:val="28"/>
                <w:szCs w:val="28"/>
              </w:rPr>
              <w:t>1. Teaching English Grammar &amp; Reading Comprehension, Dept. of French language M.A. students.</w:t>
            </w:r>
          </w:p>
          <w:p w:rsidR="003D1147" w:rsidRPr="00365AAE" w:rsidRDefault="003D1147" w:rsidP="00365AAE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541053">
              <w:rPr>
                <w:rFonts w:ascii="Times New Roman" w:hAnsi="Times New Roman" w:cs="Simplified Arabic"/>
                <w:sz w:val="28"/>
                <w:szCs w:val="28"/>
              </w:rPr>
              <w:t>2. Teaching Semantics for M.A. students, Dept. of Translation College of Arts, 2018/2019.</w:t>
            </w:r>
          </w:p>
        </w:tc>
      </w:tr>
      <w:tr w:rsidR="00B465CE" w:rsidRPr="00F47A28" w:rsidTr="00B225E3">
        <w:tc>
          <w:tcPr>
            <w:tcW w:w="11016" w:type="dxa"/>
            <w:gridSpan w:val="8"/>
            <w:shd w:val="clear" w:color="auto" w:fill="D9F1FF"/>
          </w:tcPr>
          <w:p w:rsidR="00B465CE" w:rsidRPr="004F25EF" w:rsidRDefault="00B465CE" w:rsidP="00B465C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Postgraduate Supervision and Discussion</w:t>
            </w:r>
          </w:p>
        </w:tc>
      </w:tr>
      <w:tr w:rsidR="00B465CE" w:rsidRPr="00F47A28" w:rsidTr="003D1147">
        <w:tc>
          <w:tcPr>
            <w:tcW w:w="3348" w:type="dxa"/>
            <w:gridSpan w:val="4"/>
          </w:tcPr>
          <w:p w:rsidR="00B465CE" w:rsidRPr="00F47A28" w:rsidRDefault="00B465CE" w:rsidP="00B465CE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Master</w:t>
            </w:r>
          </w:p>
        </w:tc>
        <w:tc>
          <w:tcPr>
            <w:tcW w:w="7668" w:type="dxa"/>
            <w:gridSpan w:val="4"/>
          </w:tcPr>
          <w:p w:rsidR="00B465CE" w:rsidRPr="003D1147" w:rsidRDefault="00B465CE" w:rsidP="00B465C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3D114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Supervising an MA thesis entitled (</w:t>
            </w:r>
            <w:r w:rsidRPr="00B465CE"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lang w:bidi="ar-IQ"/>
              </w:rPr>
              <w:t>Assessing the Translation of Oxymoron in Romeo and Juliet into Arabic</w:t>
            </w:r>
            <w:r w:rsidRPr="003D114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).  </w:t>
            </w:r>
          </w:p>
        </w:tc>
      </w:tr>
      <w:tr w:rsidR="00B465CE" w:rsidRPr="00F47A28" w:rsidTr="003D1147">
        <w:tc>
          <w:tcPr>
            <w:tcW w:w="3348" w:type="dxa"/>
            <w:gridSpan w:val="4"/>
          </w:tcPr>
          <w:p w:rsidR="00B465CE" w:rsidRDefault="00B465CE" w:rsidP="009E0773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668" w:type="dxa"/>
            <w:gridSpan w:val="4"/>
          </w:tcPr>
          <w:p w:rsidR="00B465CE" w:rsidRPr="00B465CE" w:rsidRDefault="00B465CE" w:rsidP="00B465C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B465C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Member of the examining committee of an MA thesis entitled </w:t>
            </w:r>
          </w:p>
          <w:p w:rsidR="00B465CE" w:rsidRPr="00B465CE" w:rsidRDefault="00B465CE" w:rsidP="00B465C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B465C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(</w:t>
            </w:r>
            <w:r w:rsidRPr="00B465CE"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lang w:bidi="ar-IQ"/>
              </w:rPr>
              <w:t>Collaborative Translation Analysis: problems and Strategies</w:t>
            </w:r>
            <w:r w:rsidRPr="00B465C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)</w:t>
            </w:r>
          </w:p>
          <w:p w:rsidR="00B465CE" w:rsidRPr="00B465CE" w:rsidRDefault="00B465CE" w:rsidP="00B465C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B465C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Member of the examining committee of an MA thesis entitled </w:t>
            </w:r>
          </w:p>
          <w:p w:rsidR="00B465CE" w:rsidRPr="003D1147" w:rsidRDefault="00B465CE" w:rsidP="00B465C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B465C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(</w:t>
            </w:r>
            <w:r w:rsidRPr="00B465CE"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lang w:bidi="ar-IQ"/>
              </w:rPr>
              <w:t>The Translation of Circumlocution in Arabic Short Stories into English</w:t>
            </w:r>
            <w:r w:rsidRPr="00B465C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)</w:t>
            </w:r>
          </w:p>
        </w:tc>
      </w:tr>
      <w:tr w:rsidR="00B465CE" w:rsidRPr="00F47A28" w:rsidTr="003D1147">
        <w:tc>
          <w:tcPr>
            <w:tcW w:w="3348" w:type="dxa"/>
            <w:gridSpan w:val="4"/>
          </w:tcPr>
          <w:p w:rsidR="00B465CE" w:rsidRDefault="00B465CE" w:rsidP="009E0773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668" w:type="dxa"/>
            <w:gridSpan w:val="4"/>
          </w:tcPr>
          <w:p w:rsidR="00B465CE" w:rsidRPr="00B465CE" w:rsidRDefault="00B465CE" w:rsidP="00B465C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B465C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Member of the examining committee of an MA thesis entitled </w:t>
            </w:r>
          </w:p>
          <w:p w:rsidR="00B465CE" w:rsidRPr="00B465CE" w:rsidRDefault="00B465CE" w:rsidP="00B465C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465C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(</w:t>
            </w:r>
            <w:r w:rsidRPr="00B465CE"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lang w:bidi="ar-IQ"/>
              </w:rPr>
              <w:t xml:space="preserve">Cognitive Anticipation of Translating English Contextual </w:t>
            </w:r>
            <w:r w:rsidRPr="00B465CE"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lang w:bidi="ar-IQ"/>
              </w:rPr>
              <w:lastRenderedPageBreak/>
              <w:t>Clues into Arabic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)</w:t>
            </w:r>
          </w:p>
        </w:tc>
      </w:tr>
      <w:tr w:rsidR="00B465CE" w:rsidRPr="004F25EF" w:rsidTr="00B225E3">
        <w:tc>
          <w:tcPr>
            <w:tcW w:w="11016" w:type="dxa"/>
            <w:gridSpan w:val="8"/>
          </w:tcPr>
          <w:p w:rsidR="00B465CE" w:rsidRPr="004F25EF" w:rsidRDefault="00B465CE" w:rsidP="00B465C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B465CE" w:rsidRPr="00F47A28" w:rsidTr="00B225E3">
        <w:tc>
          <w:tcPr>
            <w:tcW w:w="11016" w:type="dxa"/>
            <w:gridSpan w:val="8"/>
            <w:shd w:val="clear" w:color="auto" w:fill="D9F1FF"/>
          </w:tcPr>
          <w:p w:rsidR="00B465CE" w:rsidRPr="00F47A28" w:rsidRDefault="00B465CE" w:rsidP="00B465C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Peer-reviewed Publications</w:t>
            </w:r>
          </w:p>
        </w:tc>
      </w:tr>
      <w:tr w:rsidR="00B465CE" w:rsidRPr="00F47A28" w:rsidTr="00B225E3">
        <w:tc>
          <w:tcPr>
            <w:tcW w:w="11016" w:type="dxa"/>
            <w:gridSpan w:val="8"/>
          </w:tcPr>
          <w:p w:rsidR="00B465CE" w:rsidRPr="00CC5B67" w:rsidRDefault="00B465CE" w:rsidP="00B465C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  <w:p w:rsidR="00B465CE" w:rsidRPr="003D1147" w:rsidRDefault="00B465CE" w:rsidP="00B465CE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sz w:val="28"/>
                <w:szCs w:val="28"/>
              </w:rPr>
            </w:pPr>
            <w:r w:rsidRPr="003D1147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  <w:t>1.Metaphor and Metonymy: A Contrastive Study with Reference to English-Arabic Translation</w:t>
            </w:r>
            <w:r w:rsidR="009E0773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E0773"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 xml:space="preserve">(2005) Vol.40 Adab-Al Rafidayn </w:t>
            </w:r>
            <w:r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 xml:space="preserve">    </w:t>
            </w:r>
          </w:p>
          <w:p w:rsidR="00B465CE" w:rsidRPr="009E0773" w:rsidRDefault="00B465CE" w:rsidP="00B465CE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</w:pPr>
            <w:r w:rsidRPr="003D1147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  <w:t>2.Nomen Agentis in Arabic and its Realizations in English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 xml:space="preserve"> (</w:t>
            </w:r>
            <w:r w:rsidR="009E0773" w:rsidRPr="009E0773">
              <w:rPr>
                <w:rFonts w:ascii="Times New Roman" w:hAnsi="Times New Roman" w:cs="Simplified Arabic"/>
                <w:sz w:val="28"/>
                <w:szCs w:val="28"/>
              </w:rPr>
              <w:t>2006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 xml:space="preserve">) </w:t>
            </w:r>
            <w:r w:rsidR="009E0773"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>Vol.13 No.10</w:t>
            </w:r>
            <w:r w:rsidR="009E0773"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ab/>
              <w:t>Journal of Tikrit University for the Humanities</w:t>
            </w:r>
          </w:p>
          <w:p w:rsidR="00B465CE" w:rsidRPr="009E0773" w:rsidRDefault="00B465CE" w:rsidP="00B465CE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</w:pPr>
            <w:r w:rsidRPr="003D1147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  <w:t>3.The Translation of Juxtaposed Synonymous adjectives in Legal English into Arabic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 xml:space="preserve"> (</w:t>
            </w:r>
            <w:r w:rsidR="009E0773" w:rsidRPr="009E0773">
              <w:rPr>
                <w:rFonts w:ascii="Times New Roman" w:hAnsi="Times New Roman" w:cs="Simplified Arabic"/>
                <w:sz w:val="28"/>
                <w:szCs w:val="28"/>
              </w:rPr>
              <w:t>2007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>)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ab/>
            </w:r>
            <w:r w:rsidR="009E0773"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>Vol. 45 Adab-Al Rafidayn</w:t>
            </w:r>
          </w:p>
          <w:p w:rsidR="00B465CE" w:rsidRPr="009E0773" w:rsidRDefault="00B465CE" w:rsidP="00B465CE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</w:pPr>
            <w:r w:rsidRPr="003D1147">
              <w:rPr>
                <w:rFonts w:ascii="Times New Roman" w:hAnsi="Times New Roman" w:cs="Simplified Arabic"/>
                <w:sz w:val="28"/>
                <w:szCs w:val="28"/>
              </w:rPr>
              <w:t>4.</w:t>
            </w:r>
            <w:r w:rsidRPr="003D11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D1147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  <w:t>Some Problems of Translating Metaphorical Expressions in the Shakespearean Tragedy Macbeth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 xml:space="preserve"> (</w:t>
            </w:r>
            <w:r w:rsidR="009E0773" w:rsidRPr="009E0773">
              <w:rPr>
                <w:rFonts w:ascii="Times New Roman" w:hAnsi="Times New Roman" w:cs="Simplified Arabic"/>
                <w:sz w:val="28"/>
                <w:szCs w:val="28"/>
              </w:rPr>
              <w:t>2022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>)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ab/>
            </w:r>
            <w:r w:rsidR="009E0773"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>Vol.88 Adab-Al Rafidayn</w:t>
            </w:r>
          </w:p>
          <w:p w:rsidR="00B465CE" w:rsidRPr="003D1147" w:rsidRDefault="00B465CE" w:rsidP="00B465CE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sz w:val="28"/>
                <w:szCs w:val="28"/>
              </w:rPr>
            </w:pPr>
            <w:r w:rsidRPr="003D1147">
              <w:rPr>
                <w:rFonts w:ascii="Times New Roman" w:hAnsi="Times New Roman" w:cs="Simplified Arabic"/>
                <w:sz w:val="28"/>
                <w:szCs w:val="28"/>
              </w:rPr>
              <w:t>5.</w:t>
            </w:r>
            <w:r w:rsidRPr="003D11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D1147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  <w:t>The translation of Alliteration in the Shakespearean Tragedy Macbeth</w:t>
            </w:r>
            <w:r>
              <w:rPr>
                <w:rFonts w:ascii="Times New Roman" w:hAnsi="Times New Roman" w:cs="Simplified Arabic"/>
                <w:sz w:val="28"/>
                <w:szCs w:val="28"/>
              </w:rPr>
              <w:t xml:space="preserve"> (</w:t>
            </w:r>
            <w:r w:rsidRPr="00B465CE">
              <w:rPr>
                <w:rFonts w:ascii="Times New Roman" w:hAnsi="Times New Roman" w:cs="Simplified Arabic"/>
                <w:sz w:val="28"/>
                <w:szCs w:val="28"/>
              </w:rPr>
              <w:t>2008</w:t>
            </w:r>
            <w:r>
              <w:rPr>
                <w:rFonts w:ascii="Times New Roman" w:hAnsi="Times New Roman" w:cs="Simplified Arabic"/>
                <w:sz w:val="28"/>
                <w:szCs w:val="28"/>
              </w:rPr>
              <w:t>)</w:t>
            </w:r>
            <w:r w:rsidRPr="00B465CE">
              <w:rPr>
                <w:rFonts w:ascii="Times New Roman" w:hAnsi="Times New Roman" w:cs="Simplified Arabic"/>
                <w:sz w:val="28"/>
                <w:szCs w:val="28"/>
              </w:rPr>
              <w:tab/>
            </w:r>
            <w:r w:rsidRPr="00B465CE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>Vol.15 No.3</w:t>
            </w:r>
            <w:r w:rsidRPr="00B465CE">
              <w:rPr>
                <w:rFonts w:ascii="Times New Roman" w:hAnsi="Times New Roman" w:cs="Simplified Arabic"/>
                <w:sz w:val="28"/>
                <w:szCs w:val="28"/>
              </w:rPr>
              <w:tab/>
            </w:r>
            <w:r w:rsidRPr="00B465CE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>Journal of Tikrit University for the Humanities</w:t>
            </w:r>
          </w:p>
          <w:p w:rsidR="00B465CE" w:rsidRPr="009E0773" w:rsidRDefault="00B465CE" w:rsidP="00B465CE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</w:pPr>
            <w:r w:rsidRPr="003D1147">
              <w:rPr>
                <w:rFonts w:ascii="Times New Roman" w:hAnsi="Times New Roman" w:cs="Simplified Arabic"/>
                <w:sz w:val="28"/>
                <w:szCs w:val="28"/>
              </w:rPr>
              <w:t>6.</w:t>
            </w:r>
            <w:r w:rsidRPr="003D11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D1147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  <w:t xml:space="preserve">Definiteness in English, French and Arabic: A Contrastive </w:t>
            </w:r>
            <w:r w:rsidR="009E0773" w:rsidRPr="003D1147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  <w:t>Study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 xml:space="preserve"> (</w:t>
            </w:r>
            <w:r w:rsidR="009E0773" w:rsidRPr="009E0773">
              <w:rPr>
                <w:rFonts w:ascii="Times New Roman" w:hAnsi="Times New Roman" w:cs="Simplified Arabic"/>
                <w:sz w:val="28"/>
                <w:szCs w:val="28"/>
              </w:rPr>
              <w:t>2013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>)</w:t>
            </w:r>
            <w:r w:rsidR="009E0773" w:rsidRPr="009E0773">
              <w:rPr>
                <w:rFonts w:ascii="Times New Roman" w:hAnsi="Times New Roman" w:cs="Simplified Arabic"/>
                <w:sz w:val="28"/>
                <w:szCs w:val="28"/>
              </w:rPr>
              <w:tab/>
            </w:r>
            <w:r w:rsid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 xml:space="preserve"> </w:t>
            </w:r>
            <w:r w:rsidR="009E0773"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>No.66</w:t>
            </w:r>
            <w:r w:rsidR="009E0773"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ab/>
            </w:r>
            <w:r w:rsid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 xml:space="preserve"> </w:t>
            </w:r>
            <w:r w:rsidR="009E0773"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>Adab-Al Rafidayn</w:t>
            </w:r>
          </w:p>
          <w:p w:rsidR="00B465CE" w:rsidRPr="003D1147" w:rsidRDefault="00B465CE" w:rsidP="00B465CE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sz w:val="28"/>
                <w:szCs w:val="28"/>
              </w:rPr>
            </w:pPr>
            <w:r w:rsidRPr="003D1147">
              <w:rPr>
                <w:rFonts w:ascii="Times New Roman" w:hAnsi="Times New Roman" w:cs="Simplified Arabic"/>
                <w:sz w:val="28"/>
                <w:szCs w:val="28"/>
              </w:rPr>
              <w:t>7.</w:t>
            </w:r>
            <w:r w:rsidRPr="003D11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D1147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  <w:t xml:space="preserve">The Translation of the Arabic Word Yadd( </w:t>
            </w:r>
            <w:r w:rsidRPr="003D1147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  <w:rtl/>
                <w:lang w:bidi="ar-IQ"/>
              </w:rPr>
              <w:t>يد</w:t>
            </w:r>
            <w:r w:rsidRPr="003D1147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  <w:t>) into English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 xml:space="preserve"> (</w:t>
            </w:r>
            <w:r w:rsidR="009E0773" w:rsidRPr="009E0773">
              <w:rPr>
                <w:rFonts w:ascii="Times New Roman" w:hAnsi="Times New Roman" w:cs="Simplified Arabic"/>
                <w:sz w:val="28"/>
                <w:szCs w:val="28"/>
              </w:rPr>
              <w:t>2014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>)</w:t>
            </w:r>
            <w:r w:rsidR="009E0773" w:rsidRPr="009E0773">
              <w:rPr>
                <w:rFonts w:ascii="Times New Roman" w:hAnsi="Times New Roman" w:cs="Simplified Arabic"/>
                <w:sz w:val="28"/>
                <w:szCs w:val="28"/>
              </w:rPr>
              <w:tab/>
            </w:r>
            <w:r w:rsidR="009E0773"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>No.69</w:t>
            </w:r>
            <w:r w:rsidR="009E0773"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ab/>
            </w:r>
            <w:r w:rsid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 xml:space="preserve"> </w:t>
            </w:r>
            <w:r w:rsidR="009E0773"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>Adab-Al Rafidayn</w:t>
            </w:r>
          </w:p>
          <w:p w:rsidR="00B465CE" w:rsidRPr="003D1147" w:rsidRDefault="00B465CE" w:rsidP="00B465CE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sz w:val="28"/>
                <w:szCs w:val="28"/>
              </w:rPr>
            </w:pPr>
            <w:r w:rsidRPr="003D1147">
              <w:rPr>
                <w:rFonts w:ascii="Times New Roman" w:hAnsi="Times New Roman" w:cs="Simplified Arabic"/>
                <w:sz w:val="28"/>
                <w:szCs w:val="28"/>
              </w:rPr>
              <w:t>8.</w:t>
            </w:r>
            <w:r w:rsidRPr="003D11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D1147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  <w:t>Assessing the Translation of Oxymoron in Romeo and Juliet into Arabic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 xml:space="preserve"> (</w:t>
            </w:r>
            <w:r w:rsidR="009E0773" w:rsidRPr="009E0773">
              <w:rPr>
                <w:rFonts w:ascii="Times New Roman" w:hAnsi="Times New Roman" w:cs="Simplified Arabic"/>
                <w:sz w:val="28"/>
                <w:szCs w:val="28"/>
              </w:rPr>
              <w:t>2021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>)</w:t>
            </w:r>
            <w:r w:rsidR="009E0773" w:rsidRPr="009E0773">
              <w:rPr>
                <w:rFonts w:ascii="Times New Roman" w:hAnsi="Times New Roman" w:cs="Simplified Arabic"/>
                <w:sz w:val="28"/>
                <w:szCs w:val="28"/>
              </w:rPr>
              <w:tab/>
            </w:r>
            <w:r w:rsid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 xml:space="preserve">Vol.87/1 </w:t>
            </w:r>
            <w:r w:rsidR="009E0773"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>Adab-Al Rafidayn</w:t>
            </w:r>
          </w:p>
          <w:p w:rsidR="00B465CE" w:rsidRPr="009E0773" w:rsidRDefault="00B465CE" w:rsidP="009E0773">
            <w:pPr>
              <w:autoSpaceDE w:val="0"/>
              <w:autoSpaceDN w:val="0"/>
              <w:spacing w:line="360" w:lineRule="auto"/>
              <w:ind w:left="284" w:hanging="284"/>
              <w:jc w:val="both"/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</w:pPr>
            <w:r w:rsidRPr="003D1147">
              <w:rPr>
                <w:rFonts w:ascii="Times New Roman" w:hAnsi="Times New Roman" w:cs="Simplified Arabic"/>
                <w:sz w:val="28"/>
                <w:szCs w:val="28"/>
              </w:rPr>
              <w:t>9.</w:t>
            </w:r>
            <w:r w:rsidRPr="003D11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D1147">
              <w:rPr>
                <w:rFonts w:ascii="Times New Roman" w:hAnsi="Times New Roman" w:cs="Simplified Arabic"/>
                <w:b/>
                <w:bCs/>
                <w:i/>
                <w:iCs/>
                <w:sz w:val="28"/>
                <w:szCs w:val="28"/>
              </w:rPr>
              <w:t>Shakespearean Language and Figures of Speech in Romeo and Juliet : A Translator's Insights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 xml:space="preserve"> (</w:t>
            </w:r>
            <w:r w:rsidR="009E0773" w:rsidRPr="009E0773">
              <w:rPr>
                <w:rFonts w:ascii="Times New Roman" w:hAnsi="Times New Roman" w:cs="Simplified Arabic"/>
                <w:sz w:val="28"/>
                <w:szCs w:val="28"/>
              </w:rPr>
              <w:t>2021</w:t>
            </w:r>
            <w:r w:rsidR="009E0773">
              <w:rPr>
                <w:rFonts w:ascii="Times New Roman" w:hAnsi="Times New Roman" w:cs="Simplified Arabic"/>
                <w:sz w:val="28"/>
                <w:szCs w:val="28"/>
              </w:rPr>
              <w:t>)</w:t>
            </w:r>
            <w:r w:rsidR="009E0773" w:rsidRPr="009E0773">
              <w:rPr>
                <w:rFonts w:ascii="Times New Roman" w:hAnsi="Times New Roman" w:cs="Simplified Arabic"/>
                <w:sz w:val="28"/>
                <w:szCs w:val="28"/>
              </w:rPr>
              <w:tab/>
            </w:r>
            <w:r w:rsidR="009E0773" w:rsidRPr="009E0773">
              <w:rPr>
                <w:rFonts w:ascii="Times New Roman" w:hAnsi="Times New Roman" w:cs="Simplified Arabic"/>
                <w:i/>
                <w:iCs/>
                <w:sz w:val="28"/>
                <w:szCs w:val="28"/>
              </w:rPr>
              <w:t>Adab-Al Rafidayn</w:t>
            </w:r>
          </w:p>
          <w:p w:rsidR="00B465CE" w:rsidRPr="007E614C" w:rsidRDefault="00B465CE" w:rsidP="00B465C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</w:p>
        </w:tc>
      </w:tr>
      <w:tr w:rsidR="00B465CE" w:rsidRPr="00F47A28" w:rsidTr="00B225E3">
        <w:tc>
          <w:tcPr>
            <w:tcW w:w="11016" w:type="dxa"/>
            <w:gridSpan w:val="8"/>
            <w:shd w:val="clear" w:color="auto" w:fill="D9F1FF"/>
          </w:tcPr>
          <w:p w:rsidR="00B465CE" w:rsidRPr="00F47A28" w:rsidRDefault="00B465CE" w:rsidP="00B465C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Conferences and Symposiums</w:t>
            </w:r>
          </w:p>
        </w:tc>
      </w:tr>
      <w:tr w:rsidR="00B465CE" w:rsidRPr="00F47A28" w:rsidTr="00B225E3">
        <w:tc>
          <w:tcPr>
            <w:tcW w:w="11016" w:type="dxa"/>
            <w:gridSpan w:val="8"/>
          </w:tcPr>
          <w:p w:rsidR="00B465CE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3D1147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Participation in the activities of the Eighth International Scientific Forum, which was held by the Arid Platform for Arabic-speaking scientists, experts and researchers for the period from 15-20 June 2021</w:t>
            </w:r>
          </w:p>
          <w:p w:rsidR="00B465CE" w:rsidRPr="003D1147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3D1147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 Participation in the virtual scientific symposium entitled</w:t>
            </w:r>
          </w:p>
          <w:p w:rsidR="00B465CE" w:rsidRPr="00C21CD2" w:rsidRDefault="00B465CE" w:rsidP="00B465CE">
            <w:pPr>
              <w:pStyle w:val="a4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3D1147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(Linguistic Applications to Translation)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 </w:t>
            </w:r>
            <w:r w:rsidRPr="003D1147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Established by the Department of Translation and English Language / College of Arts at the University of Mosul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 </w:t>
            </w:r>
            <w:r w:rsidRPr="003D1147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Via cyberspace and using the Google Meet platform on 17 - 5 – 2021</w:t>
            </w:r>
          </w:p>
          <w:p w:rsidR="00B465CE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 xml:space="preserve"> Attending the electronic symposium held by the Department of English at the College of Arts, University of Mosul, on the second of March, 2021, entitled “THE</w:t>
            </w:r>
            <w:r w:rsidRPr="00C54E2D">
              <w:rPr>
                <w:rFonts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C54E2D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ISLAMIC BOOK: FROM PAPER TO CALLIGRAPHY</w:t>
            </w:r>
          </w:p>
          <w:p w:rsidR="00B465CE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C21CD2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The first international conference to introduce the “I want” platform to scholars, experts, </w:t>
            </w:r>
            <w:r w:rsidRPr="00C21CD2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lastRenderedPageBreak/>
              <w:t>researchers and Arabic speakers / College of Arts, University of Mosul on 4/25/2019.</w:t>
            </w:r>
          </w:p>
          <w:p w:rsidR="00B465CE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C21CD2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A panel discussion held by the Department of Philosophy entitled (The Problem of Awareness and Society) on 1/16/2019.</w:t>
            </w:r>
          </w:p>
          <w:p w:rsidR="00B465CE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C21CD2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A panel discussion held by the Translation Department at the College of Arts, University of Mosul, on January 9, 2019.</w:t>
            </w:r>
          </w:p>
          <w:p w:rsidR="00B465CE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420A0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Conference of the Department of Sociology / College of Arts under the title of social and psychological problems of the post-ISIS Mosul society - reality and solutions 2019.</w:t>
            </w:r>
          </w:p>
          <w:p w:rsidR="00B465CE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420A0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Workshop of the French Department of the Faculty of Arts, University of Mosul, on the nomination of a novel for the Goncourt Prize, on 4/11/2018.</w:t>
            </w:r>
          </w:p>
          <w:p w:rsidR="00B465CE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420A0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An introductory symposium on the mechanism of applying to the Fulbright Visiting Professor Program in the United States, which was held by the Translation Department on 11/1/2018.</w:t>
            </w:r>
          </w:p>
          <w:p w:rsidR="00B465CE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420A0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Francophone University Agency / Introductory Seminar in 2018</w:t>
            </w:r>
          </w:p>
          <w:p w:rsidR="00B465CE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420A0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Conference of the Faculty of Arts in 2008</w:t>
            </w:r>
          </w:p>
          <w:p w:rsidR="00B465CE" w:rsidRPr="00F420A0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420A0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Conference of the Faculty of Arts in 2002</w:t>
            </w:r>
          </w:p>
          <w:p w:rsidR="00B465CE" w:rsidRPr="00F420A0" w:rsidRDefault="00B465CE" w:rsidP="00B465C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B465CE" w:rsidRPr="004F25EF" w:rsidTr="00B225E3">
        <w:tc>
          <w:tcPr>
            <w:tcW w:w="11016" w:type="dxa"/>
            <w:gridSpan w:val="8"/>
          </w:tcPr>
          <w:p w:rsidR="00B465CE" w:rsidRPr="004F25EF" w:rsidRDefault="00B465CE" w:rsidP="00B465C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B465CE" w:rsidRPr="00F47A28" w:rsidTr="00B225E3">
        <w:tc>
          <w:tcPr>
            <w:tcW w:w="11016" w:type="dxa"/>
            <w:gridSpan w:val="8"/>
            <w:shd w:val="clear" w:color="auto" w:fill="D9F1FF"/>
          </w:tcPr>
          <w:p w:rsidR="00B465CE" w:rsidRPr="00F47A28" w:rsidRDefault="00B465CE" w:rsidP="00B465C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Other Scientific activities</w:t>
            </w:r>
          </w:p>
        </w:tc>
      </w:tr>
      <w:tr w:rsidR="00B465CE" w:rsidRPr="00F47A28" w:rsidTr="00B225E3">
        <w:tc>
          <w:tcPr>
            <w:tcW w:w="11016" w:type="dxa"/>
            <w:gridSpan w:val="8"/>
          </w:tcPr>
          <w:p w:rsidR="00B465CE" w:rsidRPr="00F5116A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5116A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Scientific evaluation of two researches in the field of translation 2018-2019</w:t>
            </w:r>
          </w:p>
          <w:p w:rsidR="00B465CE" w:rsidRPr="00F5116A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5116A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Scientific evaluation of two researches in the field of translation 2020-2021</w:t>
            </w:r>
          </w:p>
          <w:p w:rsidR="00B465CE" w:rsidRPr="00F5116A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5116A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Scientific evaluation of a master's thesis in the field of translation entitled</w:t>
            </w:r>
          </w:p>
          <w:p w:rsidR="00B465CE" w:rsidRPr="00F5116A" w:rsidRDefault="00B465CE" w:rsidP="00B465CE">
            <w:pPr>
              <w:pStyle w:val="a4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5116A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(Couplet Strategy in Arabic-English Translation: Prophetic Tradition as A Case Study)</w:t>
            </w:r>
          </w:p>
          <w:p w:rsidR="00B465CE" w:rsidRPr="00F5116A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5116A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Scientific evaluation and intellectual integrity of the master's thesis in the field of translation at Tikrit University, entitled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 </w:t>
            </w:r>
            <w:r w:rsidRPr="00F5116A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(A Pragmatic Study of Taboo Language in American Daily Press Texts with Reference to Translation)</w:t>
            </w:r>
          </w:p>
          <w:p w:rsidR="00B465CE" w:rsidRPr="00F5116A" w:rsidRDefault="00B465CE" w:rsidP="00B465CE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F5116A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Linguistic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</w:t>
            </w:r>
            <w:r w:rsidRPr="00F5116A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ssessment:</w:t>
            </w:r>
          </w:p>
          <w:p w:rsidR="00B465CE" w:rsidRPr="00F5116A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5116A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1. PhD thesis for the student Qusay Abdul Latif Daoud, Electrical Engineering</w:t>
            </w:r>
          </w:p>
          <w:p w:rsidR="00B465CE" w:rsidRPr="00F5116A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5116A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2. Master's thesis submitted by Fahd Abdul-Wahhab Jameel, College of Medicine / Pathology</w:t>
            </w:r>
          </w:p>
          <w:p w:rsidR="00B465CE" w:rsidRPr="00F5116A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F5116A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3. Master Thesis Khaleda Ibrahim Noel College of Medicine / Anatomy Branch</w:t>
            </w:r>
          </w:p>
          <w:p w:rsidR="00B465CE" w:rsidRPr="009E0773" w:rsidRDefault="00B465CE" w:rsidP="009E0773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F5116A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4. PhD thesis submitted by Nihad Sobhi Saleh, Faculty of Medicine / Microbiology Branch </w:t>
            </w:r>
            <w:r w:rsidRPr="009E077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 </w:t>
            </w:r>
          </w:p>
        </w:tc>
      </w:tr>
      <w:tr w:rsidR="00B465CE" w:rsidRPr="004F25EF" w:rsidTr="00B225E3">
        <w:tc>
          <w:tcPr>
            <w:tcW w:w="11016" w:type="dxa"/>
            <w:gridSpan w:val="8"/>
          </w:tcPr>
          <w:p w:rsidR="00B465CE" w:rsidRPr="004F25EF" w:rsidRDefault="00B465CE" w:rsidP="00B465C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B465CE" w:rsidRPr="00F47A28" w:rsidTr="00B225E3">
        <w:tc>
          <w:tcPr>
            <w:tcW w:w="11016" w:type="dxa"/>
            <w:gridSpan w:val="8"/>
            <w:shd w:val="clear" w:color="auto" w:fill="D9F1FF"/>
          </w:tcPr>
          <w:p w:rsidR="00B465CE" w:rsidRPr="00F47A28" w:rsidRDefault="00B465CE" w:rsidP="00B465C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Associations</w:t>
            </w:r>
          </w:p>
        </w:tc>
      </w:tr>
      <w:tr w:rsidR="00B465CE" w:rsidRPr="00F47A28" w:rsidTr="00B225E3">
        <w:tc>
          <w:tcPr>
            <w:tcW w:w="11016" w:type="dxa"/>
            <w:gridSpan w:val="8"/>
          </w:tcPr>
          <w:p w:rsidR="00B465CE" w:rsidRPr="0046100A" w:rsidRDefault="00B465CE" w:rsidP="00B465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.</w:t>
            </w:r>
            <w:r>
              <w:t xml:space="preserve"> </w:t>
            </w:r>
            <w:r w:rsidRPr="00F5116A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Iraqi Translators' Association</w:t>
            </w:r>
          </w:p>
        </w:tc>
      </w:tr>
    </w:tbl>
    <w:p w:rsidR="00D91366" w:rsidRPr="00F47A28" w:rsidRDefault="00D91366" w:rsidP="009E077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sectPr w:rsidR="00D91366" w:rsidRPr="00F47A28" w:rsidSect="00F47A2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AFE" w:rsidRDefault="00281AFE" w:rsidP="00F5116A">
      <w:pPr>
        <w:spacing w:after="0" w:line="240" w:lineRule="auto"/>
      </w:pPr>
      <w:r>
        <w:separator/>
      </w:r>
    </w:p>
  </w:endnote>
  <w:endnote w:type="continuationSeparator" w:id="0">
    <w:p w:rsidR="00281AFE" w:rsidRDefault="00281AFE" w:rsidP="00F5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6A" w:rsidRDefault="00F5116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27F37" w:rsidRPr="00F27F37">
      <w:rPr>
        <w:rFonts w:cs="Calibri"/>
        <w:noProof/>
        <w:lang w:val="ar-SA"/>
      </w:rPr>
      <w:t>1</w:t>
    </w:r>
    <w:r>
      <w:fldChar w:fldCharType="end"/>
    </w:r>
  </w:p>
  <w:p w:rsidR="00F5116A" w:rsidRDefault="00F511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AFE" w:rsidRDefault="00281AFE" w:rsidP="00F5116A">
      <w:pPr>
        <w:spacing w:after="0" w:line="240" w:lineRule="auto"/>
      </w:pPr>
      <w:r>
        <w:separator/>
      </w:r>
    </w:p>
  </w:footnote>
  <w:footnote w:type="continuationSeparator" w:id="0">
    <w:p w:rsidR="00281AFE" w:rsidRDefault="00281AFE" w:rsidP="00F5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9070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77EF3"/>
    <w:rsid w:val="000B1E6F"/>
    <w:rsid w:val="000D61DC"/>
    <w:rsid w:val="000D6DE0"/>
    <w:rsid w:val="0010258A"/>
    <w:rsid w:val="00106420"/>
    <w:rsid w:val="001812D6"/>
    <w:rsid w:val="002276F7"/>
    <w:rsid w:val="002630A4"/>
    <w:rsid w:val="00281AFE"/>
    <w:rsid w:val="00293C6A"/>
    <w:rsid w:val="002D75B3"/>
    <w:rsid w:val="00304943"/>
    <w:rsid w:val="0035048F"/>
    <w:rsid w:val="00365AAE"/>
    <w:rsid w:val="00371FDA"/>
    <w:rsid w:val="003D1147"/>
    <w:rsid w:val="004241FA"/>
    <w:rsid w:val="00431F74"/>
    <w:rsid w:val="0046100A"/>
    <w:rsid w:val="00482CF1"/>
    <w:rsid w:val="00483C7F"/>
    <w:rsid w:val="004A2C47"/>
    <w:rsid w:val="004F25EF"/>
    <w:rsid w:val="004F6933"/>
    <w:rsid w:val="00534F2C"/>
    <w:rsid w:val="00537385"/>
    <w:rsid w:val="00541053"/>
    <w:rsid w:val="005A0EFA"/>
    <w:rsid w:val="005D54A6"/>
    <w:rsid w:val="00623F41"/>
    <w:rsid w:val="0062428B"/>
    <w:rsid w:val="0062674B"/>
    <w:rsid w:val="007036EB"/>
    <w:rsid w:val="00712D9B"/>
    <w:rsid w:val="0075210E"/>
    <w:rsid w:val="007653BC"/>
    <w:rsid w:val="00794547"/>
    <w:rsid w:val="007B4AF1"/>
    <w:rsid w:val="007E614C"/>
    <w:rsid w:val="00815DFF"/>
    <w:rsid w:val="00842253"/>
    <w:rsid w:val="00851785"/>
    <w:rsid w:val="008A388F"/>
    <w:rsid w:val="008F3866"/>
    <w:rsid w:val="00924DBA"/>
    <w:rsid w:val="00954864"/>
    <w:rsid w:val="009B4754"/>
    <w:rsid w:val="009E0773"/>
    <w:rsid w:val="00A651EA"/>
    <w:rsid w:val="00A7214C"/>
    <w:rsid w:val="00A748B8"/>
    <w:rsid w:val="00A776D8"/>
    <w:rsid w:val="00A85D51"/>
    <w:rsid w:val="00AC4257"/>
    <w:rsid w:val="00AE5A14"/>
    <w:rsid w:val="00B2122B"/>
    <w:rsid w:val="00B225E3"/>
    <w:rsid w:val="00B261A8"/>
    <w:rsid w:val="00B310BB"/>
    <w:rsid w:val="00B465CE"/>
    <w:rsid w:val="00B70942"/>
    <w:rsid w:val="00BA2CC9"/>
    <w:rsid w:val="00C21CD2"/>
    <w:rsid w:val="00C54E2D"/>
    <w:rsid w:val="00CC5B67"/>
    <w:rsid w:val="00CF52DD"/>
    <w:rsid w:val="00D36BB0"/>
    <w:rsid w:val="00D51840"/>
    <w:rsid w:val="00D631D7"/>
    <w:rsid w:val="00D91366"/>
    <w:rsid w:val="00DC163B"/>
    <w:rsid w:val="00E02FAD"/>
    <w:rsid w:val="00E221A9"/>
    <w:rsid w:val="00E953FD"/>
    <w:rsid w:val="00EB5A88"/>
    <w:rsid w:val="00F27F37"/>
    <w:rsid w:val="00F420A0"/>
    <w:rsid w:val="00F45574"/>
    <w:rsid w:val="00F47A28"/>
    <w:rsid w:val="00F47B10"/>
    <w:rsid w:val="00F5116A"/>
    <w:rsid w:val="00F724ED"/>
    <w:rsid w:val="00FB3159"/>
    <w:rsid w:val="00FB647D"/>
    <w:rsid w:val="00FC1286"/>
    <w:rsid w:val="00FC1577"/>
    <w:rsid w:val="00FD1CC9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267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F51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نص في بالون Char"/>
    <w:basedOn w:val="a0"/>
    <w:link w:val="a5"/>
    <w:uiPriority w:val="99"/>
    <w:semiHidden/>
    <w:locked/>
    <w:rsid w:val="0062674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unhideWhenUsed/>
    <w:rsid w:val="00F51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locked/>
    <w:rsid w:val="00F5116A"/>
    <w:rPr>
      <w:rFonts w:cs="Times New Roman"/>
    </w:rPr>
  </w:style>
  <w:style w:type="character" w:customStyle="1" w:styleId="Char1">
    <w:name w:val="تذييل الصفحة Char"/>
    <w:basedOn w:val="a0"/>
    <w:link w:val="a7"/>
    <w:uiPriority w:val="99"/>
    <w:locked/>
    <w:rsid w:val="00F51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267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F51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نص في بالون Char"/>
    <w:basedOn w:val="a0"/>
    <w:link w:val="a5"/>
    <w:uiPriority w:val="99"/>
    <w:semiHidden/>
    <w:locked/>
    <w:rsid w:val="0062674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unhideWhenUsed/>
    <w:rsid w:val="00F51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locked/>
    <w:rsid w:val="00F5116A"/>
    <w:rPr>
      <w:rFonts w:cs="Times New Roman"/>
    </w:rPr>
  </w:style>
  <w:style w:type="character" w:customStyle="1" w:styleId="Char1">
    <w:name w:val="تذييل الصفحة Char"/>
    <w:basedOn w:val="a0"/>
    <w:link w:val="a7"/>
    <w:uiPriority w:val="99"/>
    <w:locked/>
    <w:rsid w:val="00F511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2</cp:revision>
  <dcterms:created xsi:type="dcterms:W3CDTF">2023-07-15T10:24:00Z</dcterms:created>
  <dcterms:modified xsi:type="dcterms:W3CDTF">2023-07-15T10:24:00Z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000bfcdc5dd2480ee8f5899741a571a480ceec84ccbf058b9ebc093322abfb6d</vt:lpwstr>
  </property>
</Properties>
</file>